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универсального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 соответствии с требованиями ФГОС СОО, ФОП СОО, СП 2.4.2.4283-26, СанПиН 1.2.3685-21. Количество часов по предметам рассчитано на уровень образования с учетом максимальной общей нагрузки при шестидневной учебной неделе и 68 учебных недель за 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Универсальный профиль ориентирован на обучающихся, чей выбор «не вписывается» в рамки технологического, социально-экономического, естественно-научного и гуманитарного профилей.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основу учебного плана положен вариант федерального учебного плана универсального профиля при шестидневной учебной неделе. По запросам обучающихся и родителей школа определила </w:t>
      </w:r>
      <w:r>
        <w:rPr>
          <w:rFonts w:hAnsi="Times New Roman" w:cs="Times New Roman"/>
          <w:color w:val="000000"/>
          <w:sz w:val="24"/>
          <w:szCs w:val="24"/>
        </w:rPr>
        <w:t>3 </w:t>
      </w:r>
      <w:r>
        <w:rPr>
          <w:rFonts w:hAnsi="Times New Roman" w:cs="Times New Roman"/>
          <w:color w:val="000000"/>
          <w:sz w:val="24"/>
          <w:szCs w:val="24"/>
        </w:rPr>
        <w:t xml:space="preserve">предмета на углубленном уровне: </w:t>
      </w:r>
      <w:r>
        <w:rPr>
          <w:rFonts w:hAnsi="Times New Roman" w:cs="Times New Roman"/>
          <w:color w:val="000000"/>
          <w:sz w:val="24"/>
          <w:szCs w:val="24"/>
        </w:rPr>
        <w:t>английский язык, 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как основа изучения языка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УНИВЕРСАЛЬНОГО ПРОФИЛЯ СОО ПРИ ШЕСТИДНЕВНОЙ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 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11-й класс (34 учебные недели) 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как основа изучения языка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 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p>
      <w:r>
        <w:rPr>
          <w:rFonts w:ascii="Times New Roman" w:hAnsi="Times New Roman"/>
          <w:i/>
          <w:sz w:val="24"/>
        </w:rPr>
        <w:t>Число часов, рекомендованных для изучения физической культуры в рамках универсального профиля, — 204 часа: по 102 часа (3 часа в неделю) в 10 и 11 классах (пункт 127.5.13 ФОП СОО в редакции приказа Минпросвещения России от 10.11.2025 № 808). Третий час физической активности реализуется в составе учебного предмета «Физическая культура»; отдельный модуль по видам спорта в части, формируемой участниками образовательных отношений, не выделяется.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05ddad75c3fe448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